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B72" w:rsidRDefault="00801B72">
      <w:pPr>
        <w:jc w:val="center"/>
        <w:rPr>
          <w:b/>
          <w:sz w:val="36"/>
        </w:rPr>
      </w:pPr>
      <w:bookmarkStart w:id="0" w:name="_GoBack"/>
      <w:bookmarkEnd w:id="0"/>
      <w:r>
        <w:rPr>
          <w:b/>
          <w:sz w:val="36"/>
        </w:rPr>
        <w:t>WATER AND LIGHT COMMISSION MINUTES</w:t>
      </w:r>
    </w:p>
    <w:p w:rsidR="00801B72" w:rsidRDefault="00801B72">
      <w:pPr>
        <w:jc w:val="center"/>
        <w:rPr>
          <w:b/>
          <w:sz w:val="36"/>
        </w:rPr>
      </w:pPr>
      <w:r>
        <w:rPr>
          <w:b/>
          <w:sz w:val="36"/>
        </w:rPr>
        <w:t>REGULAR MEETING</w:t>
      </w:r>
    </w:p>
    <w:p w:rsidR="00801B72" w:rsidRPr="00CC7137" w:rsidRDefault="00D9656F">
      <w:pPr>
        <w:jc w:val="center"/>
        <w:rPr>
          <w:b/>
          <w:sz w:val="36"/>
          <w:szCs w:val="36"/>
        </w:rPr>
      </w:pPr>
      <w:r>
        <w:rPr>
          <w:b/>
          <w:sz w:val="36"/>
          <w:szCs w:val="36"/>
        </w:rPr>
        <w:t>APRIL 21, 2025</w:t>
      </w:r>
    </w:p>
    <w:p w:rsidR="00801B72" w:rsidRDefault="00801B72">
      <w:pPr>
        <w:jc w:val="center"/>
        <w:rPr>
          <w:b/>
        </w:rPr>
      </w:pPr>
    </w:p>
    <w:p w:rsidR="00801B72" w:rsidRDefault="00801B72">
      <w:pPr>
        <w:jc w:val="both"/>
      </w:pPr>
      <w:r>
        <w:t>The regular meeting of the Water and Light Commission was called to order in the Worthington Public Utilitie</w:t>
      </w:r>
      <w:r w:rsidR="009A3514">
        <w:t xml:space="preserve">s Conference Room at </w:t>
      </w:r>
      <w:r w:rsidR="00D9656F">
        <w:t>2:58</w:t>
      </w:r>
      <w:r w:rsidR="009A3514">
        <w:t xml:space="preserve"> P.M. </w:t>
      </w:r>
      <w:r>
        <w:t xml:space="preserve">by President </w:t>
      </w:r>
      <w:r w:rsidR="00BC3637">
        <w:t>Debra Weg</w:t>
      </w:r>
      <w:r>
        <w:t xml:space="preserve"> with the following members p</w:t>
      </w:r>
      <w:r w:rsidR="00A43379">
        <w:t xml:space="preserve">resent:  </w:t>
      </w:r>
      <w:r w:rsidR="009A3514">
        <w:t xml:space="preserve"> </w:t>
      </w:r>
      <w:r w:rsidR="00944EF0">
        <w:t xml:space="preserve">Kathy </w:t>
      </w:r>
      <w:r w:rsidR="00D9656F">
        <w:t>Hayenga and</w:t>
      </w:r>
      <w:r w:rsidR="00551000">
        <w:t xml:space="preserve"> Amy Ernst.</w:t>
      </w:r>
      <w:r w:rsidR="00D9656F">
        <w:t xml:space="preserve"> Chad Nixon and Mike Fury were absent (excused). </w:t>
      </w:r>
    </w:p>
    <w:p w:rsidR="00801B72" w:rsidRDefault="00801B72">
      <w:pPr>
        <w:jc w:val="both"/>
      </w:pPr>
    </w:p>
    <w:p w:rsidR="00801B72" w:rsidRDefault="00801B72">
      <w:pPr>
        <w:jc w:val="both"/>
      </w:pPr>
      <w:r>
        <w:t xml:space="preserve">Staff members present were Scott Hain, General Manager; </w:t>
      </w:r>
      <w:r w:rsidR="00D9656F">
        <w:t>Eric Roos, Utility Coordinator; and Kristy Taylor</w:t>
      </w:r>
      <w:r>
        <w:t>, Secretary to the Commission</w:t>
      </w:r>
    </w:p>
    <w:p w:rsidR="00801B72" w:rsidRDefault="00801B72">
      <w:pPr>
        <w:jc w:val="both"/>
      </w:pPr>
    </w:p>
    <w:p w:rsidR="00801B72" w:rsidRPr="002D7439" w:rsidRDefault="00801B72">
      <w:pPr>
        <w:jc w:val="both"/>
      </w:pPr>
      <w:r>
        <w:t>Others present</w:t>
      </w:r>
      <w:r w:rsidR="0028585E">
        <w:t xml:space="preserve">:  </w:t>
      </w:r>
      <w:r w:rsidR="00D9656F">
        <w:t>Sam Martin, The Globe</w:t>
      </w:r>
    </w:p>
    <w:p w:rsidR="00801B72" w:rsidRDefault="00801B72">
      <w:pPr>
        <w:jc w:val="both"/>
      </w:pPr>
    </w:p>
    <w:p w:rsidR="00801B72" w:rsidRDefault="00801B72">
      <w:pPr>
        <w:jc w:val="both"/>
        <w:rPr>
          <w:b/>
        </w:rPr>
      </w:pPr>
      <w:r>
        <w:rPr>
          <w:b/>
        </w:rPr>
        <w:t>AGENDA ADDITIONS/CLOSURE</w:t>
      </w:r>
    </w:p>
    <w:p w:rsidR="00801B72" w:rsidRDefault="00801B72">
      <w:pPr>
        <w:jc w:val="both"/>
        <w:rPr>
          <w:b/>
        </w:rPr>
      </w:pPr>
    </w:p>
    <w:p w:rsidR="00801B72" w:rsidRDefault="00C90EDA">
      <w:pPr>
        <w:jc w:val="both"/>
      </w:pPr>
      <w:r>
        <w:t>Commissioner Hayenga made a motion</w:t>
      </w:r>
      <w:r w:rsidR="00801B72">
        <w:t xml:space="preserve">, seconded by Commissioner </w:t>
      </w:r>
      <w:r w:rsidR="00D9656F">
        <w:t>Ernst</w:t>
      </w:r>
      <w:r w:rsidR="0051681F">
        <w:t>,</w:t>
      </w:r>
      <w:r w:rsidR="00801B72">
        <w:t xml:space="preserve"> and unanimously carried to close the agenda as presented.</w:t>
      </w:r>
    </w:p>
    <w:p w:rsidR="00801B72" w:rsidRDefault="00801B72">
      <w:pPr>
        <w:jc w:val="both"/>
      </w:pPr>
    </w:p>
    <w:p w:rsidR="00801B72" w:rsidRDefault="00801B72">
      <w:pPr>
        <w:jc w:val="both"/>
        <w:rPr>
          <w:b/>
        </w:rPr>
      </w:pPr>
      <w:r>
        <w:rPr>
          <w:b/>
        </w:rPr>
        <w:t>CONSENT AGENDA APPROVED</w:t>
      </w:r>
    </w:p>
    <w:p w:rsidR="00801B72" w:rsidRDefault="00801B72">
      <w:pPr>
        <w:jc w:val="both"/>
        <w:rPr>
          <w:b/>
        </w:rPr>
      </w:pPr>
    </w:p>
    <w:p w:rsidR="00801B72" w:rsidRDefault="00801B72">
      <w:pPr>
        <w:jc w:val="both"/>
      </w:pPr>
      <w:r>
        <w:t xml:space="preserve">A motion was made by Commissioner </w:t>
      </w:r>
      <w:r w:rsidR="00D9656F">
        <w:t>Ernst</w:t>
      </w:r>
      <w:r>
        <w:t xml:space="preserve">, seconded by Commissioner </w:t>
      </w:r>
      <w:r w:rsidR="00D9656F">
        <w:t>Hayenga</w:t>
      </w:r>
      <w:r w:rsidR="0051681F">
        <w:t>,</w:t>
      </w:r>
      <w:r>
        <w:t xml:space="preserve"> and unanimously carried to approve the consent agenda as follows:</w:t>
      </w:r>
    </w:p>
    <w:p w:rsidR="00801B72" w:rsidRDefault="00801B72">
      <w:pPr>
        <w:jc w:val="both"/>
      </w:pPr>
    </w:p>
    <w:p w:rsidR="00801B72" w:rsidRDefault="00801B72" w:rsidP="00F51FE7">
      <w:pPr>
        <w:pStyle w:val="ListParagraph"/>
        <w:numPr>
          <w:ilvl w:val="0"/>
          <w:numId w:val="1"/>
        </w:numPr>
        <w:jc w:val="both"/>
      </w:pPr>
      <w:r>
        <w:t xml:space="preserve">Water and Light Commission minutes of the regular meeting held on </w:t>
      </w:r>
      <w:r w:rsidR="00D9656F">
        <w:t>April 7, 2025</w:t>
      </w:r>
    </w:p>
    <w:p w:rsidR="00801B72" w:rsidRDefault="007D5D0B" w:rsidP="009B4640">
      <w:pPr>
        <w:pStyle w:val="ListParagraph"/>
        <w:numPr>
          <w:ilvl w:val="0"/>
          <w:numId w:val="1"/>
        </w:numPr>
        <w:jc w:val="both"/>
      </w:pPr>
      <w:r>
        <w:t>S</w:t>
      </w:r>
      <w:r w:rsidR="00801B72">
        <w:t xml:space="preserve">taff reports for </w:t>
      </w:r>
      <w:r w:rsidR="00D9656F">
        <w:t xml:space="preserve">March </w:t>
      </w:r>
      <w:r w:rsidR="0051681F">
        <w:t>2025</w:t>
      </w:r>
    </w:p>
    <w:p w:rsidR="00801B72" w:rsidRDefault="00801B72" w:rsidP="00F51FE7">
      <w:pPr>
        <w:pStyle w:val="ListParagraph"/>
        <w:numPr>
          <w:ilvl w:val="0"/>
          <w:numId w:val="1"/>
        </w:numPr>
        <w:jc w:val="both"/>
      </w:pPr>
      <w:r>
        <w:t xml:space="preserve">Utility bills payable totaling </w:t>
      </w:r>
      <w:r w:rsidR="0051681F">
        <w:t>$208,537.67</w:t>
      </w:r>
      <w:r w:rsidR="00242092">
        <w:t xml:space="preserve"> for </w:t>
      </w:r>
      <w:r w:rsidR="0051681F">
        <w:t>April 11 and April 18, 2025</w:t>
      </w:r>
    </w:p>
    <w:p w:rsidR="007D5D0B" w:rsidRDefault="007D5D0B" w:rsidP="007D5D0B">
      <w:pPr>
        <w:jc w:val="both"/>
      </w:pPr>
    </w:p>
    <w:p w:rsidR="007D5D0B" w:rsidRDefault="007D5D0B" w:rsidP="007D5D0B">
      <w:pPr>
        <w:jc w:val="both"/>
      </w:pPr>
      <w:r>
        <w:rPr>
          <w:b/>
        </w:rPr>
        <w:t>FINANCIAL STATEMENTS</w:t>
      </w:r>
      <w:r w:rsidR="00A43379">
        <w:rPr>
          <w:b/>
        </w:rPr>
        <w:t xml:space="preserve"> AND SALES REPORTS</w:t>
      </w:r>
    </w:p>
    <w:p w:rsidR="007D5D0B" w:rsidRDefault="007D5D0B" w:rsidP="007D5D0B">
      <w:pPr>
        <w:jc w:val="both"/>
      </w:pPr>
    </w:p>
    <w:p w:rsidR="007D5D0B" w:rsidRPr="007D5D0B" w:rsidRDefault="00C90EDA" w:rsidP="007D5D0B">
      <w:pPr>
        <w:jc w:val="both"/>
      </w:pPr>
      <w:r>
        <w:t>Commissioner Hayenga moved</w:t>
      </w:r>
      <w:r w:rsidR="007D5D0B">
        <w:t xml:space="preserve">, seconded by Commissioner </w:t>
      </w:r>
      <w:r w:rsidR="0051681F">
        <w:t>Ernst,</w:t>
      </w:r>
      <w:r w:rsidR="007D5D0B">
        <w:t xml:space="preserve"> and unanimously carried to accept the financial statements </w:t>
      </w:r>
      <w:r w:rsidR="00A43379">
        <w:t xml:space="preserve">and sales reports </w:t>
      </w:r>
      <w:r w:rsidR="007D5D0B">
        <w:t xml:space="preserve">for </w:t>
      </w:r>
      <w:r w:rsidR="0051681F">
        <w:t>January, February, and March</w:t>
      </w:r>
      <w:r w:rsidR="007D5D0B">
        <w:t>.</w:t>
      </w:r>
      <w:r w:rsidR="0051681F">
        <w:t xml:space="preserve"> </w:t>
      </w:r>
    </w:p>
    <w:p w:rsidR="00801B72" w:rsidRDefault="00801B72">
      <w:pPr>
        <w:jc w:val="both"/>
      </w:pPr>
    </w:p>
    <w:p w:rsidR="002E59A6" w:rsidRDefault="002E59A6" w:rsidP="002E59A6">
      <w:pPr>
        <w:contextualSpacing/>
        <w:jc w:val="both"/>
        <w:rPr>
          <w:b/>
          <w:szCs w:val="24"/>
        </w:rPr>
      </w:pPr>
      <w:r>
        <w:rPr>
          <w:b/>
          <w:szCs w:val="24"/>
        </w:rPr>
        <w:t>2024 SAFETY, SERVICE QU</w:t>
      </w:r>
      <w:r w:rsidR="00696783">
        <w:rPr>
          <w:b/>
          <w:szCs w:val="24"/>
        </w:rPr>
        <w:t>ALITY, AND DISTRIBUTION RELIABILITY STANDARDS</w:t>
      </w:r>
    </w:p>
    <w:p w:rsidR="00696783" w:rsidRDefault="00696783" w:rsidP="002E59A6">
      <w:pPr>
        <w:contextualSpacing/>
        <w:jc w:val="both"/>
        <w:rPr>
          <w:b/>
          <w:bCs/>
          <w:szCs w:val="24"/>
        </w:rPr>
      </w:pPr>
    </w:p>
    <w:p w:rsidR="00687931" w:rsidRPr="00154B5D" w:rsidRDefault="00687931" w:rsidP="00687931">
      <w:pPr>
        <w:jc w:val="both"/>
        <w:rPr>
          <w:szCs w:val="24"/>
        </w:rPr>
      </w:pPr>
      <w:r w:rsidRPr="00154B5D">
        <w:rPr>
          <w:szCs w:val="24"/>
        </w:rPr>
        <w:t>Minnesota Statutes require that municipally-owned electric utilities provide an annual report to their governing body on their adopted safety, service quality</w:t>
      </w:r>
      <w:r>
        <w:rPr>
          <w:szCs w:val="24"/>
        </w:rPr>
        <w:t>,</w:t>
      </w:r>
      <w:r w:rsidRPr="00154B5D">
        <w:rPr>
          <w:szCs w:val="24"/>
        </w:rPr>
        <w:t xml:space="preserve"> and distribution reliability standards.  </w:t>
      </w:r>
    </w:p>
    <w:p w:rsidR="00687931" w:rsidRDefault="00687931" w:rsidP="00687931">
      <w:pPr>
        <w:tabs>
          <w:tab w:val="left" w:pos="720"/>
          <w:tab w:val="left" w:pos="1440"/>
        </w:tabs>
        <w:jc w:val="both"/>
        <w:rPr>
          <w:szCs w:val="24"/>
        </w:rPr>
      </w:pPr>
      <w:r>
        <w:rPr>
          <w:szCs w:val="24"/>
        </w:rPr>
        <w:t>S</w:t>
      </w:r>
      <w:r w:rsidRPr="00154B5D">
        <w:rPr>
          <w:szCs w:val="24"/>
        </w:rPr>
        <w:t>taff review</w:t>
      </w:r>
      <w:r>
        <w:rPr>
          <w:szCs w:val="24"/>
        </w:rPr>
        <w:t>ed</w:t>
      </w:r>
      <w:r w:rsidRPr="00154B5D">
        <w:rPr>
          <w:szCs w:val="24"/>
        </w:rPr>
        <w:t xml:space="preserve"> the results of the Worthington Public Utilities 202</w:t>
      </w:r>
      <w:r>
        <w:rPr>
          <w:szCs w:val="24"/>
        </w:rPr>
        <w:t>4</w:t>
      </w:r>
      <w:r w:rsidRPr="00154B5D">
        <w:rPr>
          <w:szCs w:val="24"/>
        </w:rPr>
        <w:t xml:space="preserve"> Safety, Service Quality</w:t>
      </w:r>
      <w:r>
        <w:rPr>
          <w:szCs w:val="24"/>
        </w:rPr>
        <w:t>,</w:t>
      </w:r>
      <w:r w:rsidRPr="00154B5D">
        <w:rPr>
          <w:szCs w:val="24"/>
        </w:rPr>
        <w:t xml:space="preserve"> and Distribution Reliability Standards </w:t>
      </w:r>
      <w:r>
        <w:rPr>
          <w:szCs w:val="24"/>
        </w:rPr>
        <w:t xml:space="preserve">report with the Commission.  </w:t>
      </w:r>
    </w:p>
    <w:p w:rsidR="00687931" w:rsidRDefault="00687931" w:rsidP="00687931">
      <w:pPr>
        <w:tabs>
          <w:tab w:val="left" w:pos="720"/>
          <w:tab w:val="left" w:pos="1440"/>
        </w:tabs>
        <w:jc w:val="both"/>
        <w:rPr>
          <w:szCs w:val="24"/>
        </w:rPr>
      </w:pPr>
    </w:p>
    <w:p w:rsidR="00687931" w:rsidRDefault="00687931" w:rsidP="00687931">
      <w:pPr>
        <w:tabs>
          <w:tab w:val="left" w:pos="720"/>
          <w:tab w:val="left" w:pos="1440"/>
        </w:tabs>
        <w:jc w:val="both"/>
        <w:rPr>
          <w:szCs w:val="24"/>
        </w:rPr>
      </w:pPr>
      <w:bookmarkStart w:id="1" w:name="_Hlk130452164"/>
      <w:r>
        <w:rPr>
          <w:szCs w:val="24"/>
        </w:rPr>
        <w:t>Following review, a motion was made by Commissioner Hayenga, seconded by Commissioner Ernst, and unanimously carried to accept the 2024 report and to retain the same SAIDI (10.00), SAIFI (0.33), and CAIDI (60.00) goals for the year 2025.</w:t>
      </w:r>
    </w:p>
    <w:bookmarkEnd w:id="1"/>
    <w:p w:rsidR="00B920EE" w:rsidRDefault="00B920EE" w:rsidP="002E59A6">
      <w:pPr>
        <w:contextualSpacing/>
        <w:jc w:val="both"/>
        <w:rPr>
          <w:b/>
          <w:bCs/>
          <w:szCs w:val="24"/>
        </w:rPr>
      </w:pPr>
    </w:p>
    <w:p w:rsidR="00696783" w:rsidRDefault="00696783" w:rsidP="002E59A6">
      <w:pPr>
        <w:contextualSpacing/>
        <w:jc w:val="both"/>
        <w:rPr>
          <w:b/>
          <w:bCs/>
          <w:szCs w:val="24"/>
        </w:rPr>
      </w:pPr>
      <w:r>
        <w:rPr>
          <w:b/>
          <w:bCs/>
          <w:szCs w:val="24"/>
        </w:rPr>
        <w:lastRenderedPageBreak/>
        <w:t>AMERICAN PUBLIC POWER ASSOCIATION (APPA) BENCHMARKING REPORT</w:t>
      </w:r>
    </w:p>
    <w:p w:rsidR="00B920EE" w:rsidRDefault="00B920EE" w:rsidP="002E59A6">
      <w:pPr>
        <w:contextualSpacing/>
        <w:jc w:val="both"/>
        <w:rPr>
          <w:b/>
          <w:bCs/>
          <w:szCs w:val="24"/>
        </w:rPr>
      </w:pPr>
    </w:p>
    <w:p w:rsidR="000E0B51" w:rsidRPr="0082481A" w:rsidRDefault="000E0B51" w:rsidP="000E0B51">
      <w:pPr>
        <w:tabs>
          <w:tab w:val="left" w:pos="1440"/>
        </w:tabs>
        <w:jc w:val="both"/>
      </w:pPr>
      <w:r>
        <w:t>Scott Hain, General Manager, reviewed some key reliability indices from the 2024 American Public Power Association (APPA) benchmarking report, which contained information from the 3</w:t>
      </w:r>
      <w:r w:rsidR="001B0764">
        <w:t>50</w:t>
      </w:r>
      <w:r>
        <w:t xml:space="preserve"> public power utilities that submitted 2024 data through the eReliability Tracker system.  The data indicated that the WPU electric system performed extremely well in 202</w:t>
      </w:r>
      <w:r w:rsidR="00AC66E3">
        <w:t>4</w:t>
      </w:r>
      <w:r>
        <w:t xml:space="preserve"> when compared to all respondents.</w:t>
      </w:r>
    </w:p>
    <w:p w:rsidR="000E0B51" w:rsidRDefault="000E0B51" w:rsidP="002E59A6">
      <w:pPr>
        <w:contextualSpacing/>
        <w:jc w:val="both"/>
        <w:rPr>
          <w:b/>
          <w:bCs/>
          <w:szCs w:val="24"/>
        </w:rPr>
      </w:pPr>
    </w:p>
    <w:p w:rsidR="00B920EE" w:rsidRDefault="00B920EE" w:rsidP="002E59A6">
      <w:pPr>
        <w:contextualSpacing/>
        <w:jc w:val="both"/>
        <w:rPr>
          <w:b/>
          <w:bCs/>
          <w:szCs w:val="24"/>
        </w:rPr>
      </w:pPr>
      <w:r>
        <w:rPr>
          <w:b/>
          <w:bCs/>
          <w:szCs w:val="24"/>
        </w:rPr>
        <w:t>CONSUMER CONFIDENCE REPORT</w:t>
      </w:r>
    </w:p>
    <w:p w:rsidR="00B920EE" w:rsidRDefault="00B920EE" w:rsidP="002E59A6">
      <w:pPr>
        <w:contextualSpacing/>
        <w:jc w:val="both"/>
        <w:rPr>
          <w:b/>
          <w:bCs/>
          <w:szCs w:val="24"/>
        </w:rPr>
      </w:pPr>
    </w:p>
    <w:p w:rsidR="002416A7" w:rsidRDefault="002416A7" w:rsidP="002416A7">
      <w:pPr>
        <w:jc w:val="both"/>
      </w:pPr>
      <w:r>
        <w:t>Scott Hain, General Manager, provided the Commission with a copy of the proposed notification to be included with the June 2025 utility billing informing our customers that the 2024 Consumer Confidence Report (CCR) is available on Worthington Public Utilities’ website.  The 1996 Safe Drinking Water Act included a requirement that all public water suppliers provide their customers with an annual report on water quality.</w:t>
      </w:r>
    </w:p>
    <w:p w:rsidR="002416A7" w:rsidRDefault="002416A7" w:rsidP="002416A7">
      <w:pPr>
        <w:jc w:val="both"/>
      </w:pPr>
    </w:p>
    <w:p w:rsidR="002416A7" w:rsidRDefault="00C90EDA" w:rsidP="002416A7">
      <w:pPr>
        <w:jc w:val="both"/>
        <w:rPr>
          <w:b/>
        </w:rPr>
      </w:pPr>
      <w:r>
        <w:t>Commissioner Hayenga made a motion</w:t>
      </w:r>
      <w:r w:rsidR="002416A7">
        <w:t>, seconded by Commissioner Ernst, and unanimously carried to approve the proposed notification for the 2024 Worthington Public Utilities Consumer Confidence Report to be mailed with the June 2025 utility billing.</w:t>
      </w:r>
    </w:p>
    <w:p w:rsidR="002416A7" w:rsidRDefault="002416A7" w:rsidP="002E59A6">
      <w:pPr>
        <w:contextualSpacing/>
        <w:jc w:val="both"/>
        <w:rPr>
          <w:b/>
          <w:bCs/>
          <w:szCs w:val="24"/>
        </w:rPr>
      </w:pPr>
    </w:p>
    <w:p w:rsidR="00B920EE" w:rsidRDefault="00B920EE" w:rsidP="002E59A6">
      <w:pPr>
        <w:contextualSpacing/>
        <w:jc w:val="both"/>
        <w:rPr>
          <w:b/>
          <w:bCs/>
          <w:szCs w:val="24"/>
        </w:rPr>
      </w:pPr>
      <w:r>
        <w:rPr>
          <w:b/>
          <w:bCs/>
          <w:szCs w:val="24"/>
        </w:rPr>
        <w:t>FUTURE WATER NEEDS DISCUSSION</w:t>
      </w:r>
    </w:p>
    <w:p w:rsidR="00696783" w:rsidRDefault="00696783" w:rsidP="002E59A6">
      <w:pPr>
        <w:contextualSpacing/>
        <w:jc w:val="both"/>
        <w:rPr>
          <w:b/>
          <w:bCs/>
          <w:szCs w:val="24"/>
        </w:rPr>
      </w:pPr>
    </w:p>
    <w:p w:rsidR="00C81C9F" w:rsidRDefault="001B0764">
      <w:pPr>
        <w:contextualSpacing/>
        <w:jc w:val="both"/>
        <w:rPr>
          <w:bCs/>
          <w:szCs w:val="24"/>
        </w:rPr>
      </w:pPr>
      <w:r>
        <w:rPr>
          <w:bCs/>
          <w:szCs w:val="24"/>
        </w:rPr>
        <w:t xml:space="preserve">As both the Lewis &amp; Clark Regional Water System and Dakota Mainstem Regional Water System are preparing to conduct feasibility studies, those entities requested their members to provide as accurate </w:t>
      </w:r>
      <w:r w:rsidR="00624757">
        <w:rPr>
          <w:bCs/>
          <w:szCs w:val="24"/>
        </w:rPr>
        <w:t xml:space="preserve">an </w:t>
      </w:r>
      <w:r>
        <w:rPr>
          <w:bCs/>
          <w:szCs w:val="24"/>
        </w:rPr>
        <w:t xml:space="preserve">estimate as possible of what their additional water </w:t>
      </w:r>
      <w:r w:rsidR="00624757">
        <w:rPr>
          <w:bCs/>
          <w:szCs w:val="24"/>
        </w:rPr>
        <w:t xml:space="preserve">needs </w:t>
      </w:r>
      <w:r w:rsidR="00203982">
        <w:rPr>
          <w:bCs/>
          <w:szCs w:val="24"/>
        </w:rPr>
        <w:t xml:space="preserve">would be in the year 2070.  </w:t>
      </w:r>
      <w:r w:rsidR="00300592">
        <w:rPr>
          <w:bCs/>
          <w:szCs w:val="24"/>
        </w:rPr>
        <w:t xml:space="preserve">Staff and the Commission reviewed Worthington’s water use over </w:t>
      </w:r>
      <w:r w:rsidR="00624757">
        <w:rPr>
          <w:bCs/>
          <w:szCs w:val="24"/>
        </w:rPr>
        <w:t xml:space="preserve">the </w:t>
      </w:r>
      <w:r w:rsidR="00F90A9D">
        <w:rPr>
          <w:bCs/>
          <w:szCs w:val="24"/>
        </w:rPr>
        <w:t>twenty-five-year</w:t>
      </w:r>
      <w:r w:rsidR="00300592">
        <w:rPr>
          <w:bCs/>
          <w:szCs w:val="24"/>
        </w:rPr>
        <w:t xml:space="preserve"> period from 2000 – 2024 and, based on that information, a projection of the community’s water needs in 2070.  </w:t>
      </w:r>
      <w:r w:rsidR="00624757">
        <w:rPr>
          <w:bCs/>
          <w:szCs w:val="24"/>
        </w:rPr>
        <w:t>After discussion, it was the consensus of staff and the Commission that Worthington would indicate an anticipated need of an additional 1,500,000 gallons of water per day from either a second expansion of Lewis and Clark or from Dakota Mainstem.</w:t>
      </w:r>
    </w:p>
    <w:p w:rsidR="009540B8" w:rsidRDefault="00C929D2">
      <w:pPr>
        <w:contextualSpacing/>
        <w:jc w:val="both"/>
        <w:rPr>
          <w:b/>
        </w:rPr>
      </w:pPr>
      <w:r>
        <w:rPr>
          <w:bCs/>
          <w:szCs w:val="24"/>
        </w:rPr>
        <w:t xml:space="preserve"> </w:t>
      </w:r>
    </w:p>
    <w:p w:rsidR="00652E07" w:rsidRDefault="00652E07">
      <w:pPr>
        <w:jc w:val="both"/>
      </w:pPr>
      <w:r>
        <w:rPr>
          <w:b/>
        </w:rPr>
        <w:t>COMMISSION COMMITTEE REPORTS</w:t>
      </w:r>
    </w:p>
    <w:p w:rsidR="00944EF0" w:rsidRDefault="00944EF0">
      <w:pPr>
        <w:jc w:val="both"/>
      </w:pPr>
    </w:p>
    <w:p w:rsidR="00944EF0" w:rsidRDefault="00294B32">
      <w:pPr>
        <w:jc w:val="both"/>
      </w:pPr>
      <w:r>
        <w:t>There were no Commission committee reports.</w:t>
      </w:r>
    </w:p>
    <w:p w:rsidR="00944EF0" w:rsidRDefault="00944EF0">
      <w:pPr>
        <w:jc w:val="both"/>
      </w:pPr>
    </w:p>
    <w:p w:rsidR="00944EF0" w:rsidRDefault="00944EF0">
      <w:pPr>
        <w:jc w:val="both"/>
      </w:pPr>
      <w:r>
        <w:rPr>
          <w:b/>
        </w:rPr>
        <w:t>GENERAL MANAGER REPORT</w:t>
      </w:r>
    </w:p>
    <w:p w:rsidR="00944EF0" w:rsidRDefault="00944EF0">
      <w:pPr>
        <w:jc w:val="both"/>
      </w:pPr>
    </w:p>
    <w:p w:rsidR="00944EF0" w:rsidRPr="00944EF0" w:rsidRDefault="00A14CAB">
      <w:pPr>
        <w:jc w:val="both"/>
      </w:pPr>
      <w:r>
        <w:t xml:space="preserve">General Manager Hain had nothing additional to report. </w:t>
      </w:r>
    </w:p>
    <w:p w:rsidR="00652E07" w:rsidRPr="00652E07" w:rsidRDefault="00652E07">
      <w:pPr>
        <w:jc w:val="both"/>
      </w:pPr>
    </w:p>
    <w:p w:rsidR="00801B72" w:rsidRDefault="00801B72">
      <w:pPr>
        <w:jc w:val="both"/>
        <w:rPr>
          <w:b/>
        </w:rPr>
      </w:pPr>
      <w:r>
        <w:rPr>
          <w:b/>
        </w:rPr>
        <w:t>ADJOURNMENT</w:t>
      </w:r>
    </w:p>
    <w:p w:rsidR="00801B72" w:rsidRDefault="00801B72">
      <w:pPr>
        <w:jc w:val="both"/>
      </w:pPr>
    </w:p>
    <w:p w:rsidR="00801B72" w:rsidRDefault="00801B72">
      <w:pPr>
        <w:jc w:val="both"/>
      </w:pPr>
      <w:r>
        <w:t xml:space="preserve">A motion was made by Commissioner </w:t>
      </w:r>
      <w:r w:rsidR="0051681F">
        <w:t>Hayenga</w:t>
      </w:r>
      <w:r>
        <w:t xml:space="preserve">, seconded by Commissioner </w:t>
      </w:r>
      <w:r w:rsidR="0051681F">
        <w:t>Ernst</w:t>
      </w:r>
      <w:r w:rsidR="009540B8">
        <w:t>,</w:t>
      </w:r>
      <w:r>
        <w:t xml:space="preserve"> and unanimously carried to adjourn the meeting at </w:t>
      </w:r>
      <w:r w:rsidR="0051681F">
        <w:t>4:15</w:t>
      </w:r>
      <w:r w:rsidR="009B4640">
        <w:t xml:space="preserve"> </w:t>
      </w:r>
      <w:r>
        <w:t xml:space="preserve">P.M.  President </w:t>
      </w:r>
      <w:r w:rsidR="00BC3637">
        <w:t>Weg</w:t>
      </w:r>
      <w:r>
        <w:t xml:space="preserve"> declared the meeting adjourned.</w:t>
      </w:r>
    </w:p>
    <w:p w:rsidR="00801B72" w:rsidRDefault="00801B72">
      <w:pPr>
        <w:jc w:val="both"/>
      </w:pPr>
    </w:p>
    <w:p w:rsidR="00801B72" w:rsidRDefault="00801B72">
      <w:pPr>
        <w:jc w:val="both"/>
      </w:pPr>
    </w:p>
    <w:p w:rsidR="00801B72" w:rsidRDefault="00801B72">
      <w:pPr>
        <w:jc w:val="both"/>
      </w:pPr>
    </w:p>
    <w:p w:rsidR="00242092" w:rsidRDefault="0051681F">
      <w:pPr>
        <w:jc w:val="both"/>
      </w:pPr>
      <w:r>
        <w:t>Kristy Taylor</w:t>
      </w:r>
    </w:p>
    <w:p w:rsidR="003738D6" w:rsidRDefault="00801B72">
      <w:pPr>
        <w:jc w:val="both"/>
      </w:pPr>
      <w:r>
        <w:t>Secretary to the Commission</w:t>
      </w:r>
    </w:p>
    <w:p w:rsidR="003738D6" w:rsidRDefault="003738D6">
      <w:pPr>
        <w:jc w:val="both"/>
      </w:pPr>
    </w:p>
    <w:sectPr w:rsidR="003738D6" w:rsidSect="00EE52DF">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A3A" w:rsidRDefault="00256A3A">
      <w:r>
        <w:separator/>
      </w:r>
    </w:p>
  </w:endnote>
  <w:endnote w:type="continuationSeparator" w:id="0">
    <w:p w:rsidR="00256A3A" w:rsidRDefault="002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A3A" w:rsidRDefault="00256A3A">
      <w:r>
        <w:separator/>
      </w:r>
    </w:p>
  </w:footnote>
  <w:footnote w:type="continuationSeparator" w:id="0">
    <w:p w:rsidR="00256A3A" w:rsidRDefault="0025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72" w:rsidRDefault="00801B72">
    <w:pPr>
      <w:pStyle w:val="Header"/>
    </w:pPr>
    <w:r>
      <w:t>Water and Light Commission Minutes</w:t>
    </w:r>
  </w:p>
  <w:p w:rsidR="003738D6" w:rsidRDefault="001B0764">
    <w:pPr>
      <w:pStyle w:val="Header"/>
    </w:pPr>
    <w:r>
      <w:t>April 21, 2025</w:t>
    </w:r>
  </w:p>
  <w:p w:rsidR="00801B72" w:rsidRDefault="00801B7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3637">
      <w:rPr>
        <w:rStyle w:val="PageNumber"/>
        <w:noProof/>
      </w:rPr>
      <w:t>2</w:t>
    </w:r>
    <w:r>
      <w:rPr>
        <w:rStyle w:val="PageNumber"/>
      </w:rPr>
      <w:fldChar w:fldCharType="end"/>
    </w:r>
  </w:p>
  <w:p w:rsidR="00801B72" w:rsidRDefault="0080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72" w:rsidRDefault="00801B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074E0"/>
    <w:multiLevelType w:val="hybridMultilevel"/>
    <w:tmpl w:val="2A6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6F"/>
    <w:rsid w:val="00031C80"/>
    <w:rsid w:val="00037F0A"/>
    <w:rsid w:val="000827D6"/>
    <w:rsid w:val="000A7BC8"/>
    <w:rsid w:val="000D0799"/>
    <w:rsid w:val="000E0B51"/>
    <w:rsid w:val="00102B53"/>
    <w:rsid w:val="00111A03"/>
    <w:rsid w:val="00114D2E"/>
    <w:rsid w:val="001233D9"/>
    <w:rsid w:val="0014582B"/>
    <w:rsid w:val="00170CAF"/>
    <w:rsid w:val="001B0764"/>
    <w:rsid w:val="001C1C35"/>
    <w:rsid w:val="001C5290"/>
    <w:rsid w:val="00203982"/>
    <w:rsid w:val="0022478F"/>
    <w:rsid w:val="002416A7"/>
    <w:rsid w:val="00242092"/>
    <w:rsid w:val="00256A3A"/>
    <w:rsid w:val="00260F10"/>
    <w:rsid w:val="002828F0"/>
    <w:rsid w:val="0028585E"/>
    <w:rsid w:val="00286334"/>
    <w:rsid w:val="00294B32"/>
    <w:rsid w:val="002A3099"/>
    <w:rsid w:val="002D7439"/>
    <w:rsid w:val="002E59A6"/>
    <w:rsid w:val="0030013A"/>
    <w:rsid w:val="00300592"/>
    <w:rsid w:val="0030313A"/>
    <w:rsid w:val="0030414B"/>
    <w:rsid w:val="003213D0"/>
    <w:rsid w:val="00333A42"/>
    <w:rsid w:val="003738D6"/>
    <w:rsid w:val="003D5D0C"/>
    <w:rsid w:val="00491D68"/>
    <w:rsid w:val="005160D5"/>
    <w:rsid w:val="0051681F"/>
    <w:rsid w:val="005302E9"/>
    <w:rsid w:val="00533914"/>
    <w:rsid w:val="00551000"/>
    <w:rsid w:val="00570350"/>
    <w:rsid w:val="00596022"/>
    <w:rsid w:val="005976A4"/>
    <w:rsid w:val="005D1DDE"/>
    <w:rsid w:val="0060104E"/>
    <w:rsid w:val="00624757"/>
    <w:rsid w:val="00633B2E"/>
    <w:rsid w:val="00652E07"/>
    <w:rsid w:val="00676AE3"/>
    <w:rsid w:val="00687931"/>
    <w:rsid w:val="00696783"/>
    <w:rsid w:val="006D05B0"/>
    <w:rsid w:val="006E4982"/>
    <w:rsid w:val="006E7276"/>
    <w:rsid w:val="006E780E"/>
    <w:rsid w:val="00722512"/>
    <w:rsid w:val="007424B7"/>
    <w:rsid w:val="007A1FC4"/>
    <w:rsid w:val="007C0A63"/>
    <w:rsid w:val="007D5D0B"/>
    <w:rsid w:val="00801B72"/>
    <w:rsid w:val="008270F2"/>
    <w:rsid w:val="008271D7"/>
    <w:rsid w:val="00830A25"/>
    <w:rsid w:val="00840B8D"/>
    <w:rsid w:val="0085253A"/>
    <w:rsid w:val="008648BE"/>
    <w:rsid w:val="00885B20"/>
    <w:rsid w:val="00893A7B"/>
    <w:rsid w:val="008C5BEC"/>
    <w:rsid w:val="0090385C"/>
    <w:rsid w:val="00944EF0"/>
    <w:rsid w:val="009540B8"/>
    <w:rsid w:val="009734BB"/>
    <w:rsid w:val="00996027"/>
    <w:rsid w:val="009A3514"/>
    <w:rsid w:val="009B4640"/>
    <w:rsid w:val="00A02BF4"/>
    <w:rsid w:val="00A10388"/>
    <w:rsid w:val="00A14C99"/>
    <w:rsid w:val="00A14CAB"/>
    <w:rsid w:val="00A43379"/>
    <w:rsid w:val="00A85DA2"/>
    <w:rsid w:val="00A95582"/>
    <w:rsid w:val="00AA4C51"/>
    <w:rsid w:val="00AA7EDA"/>
    <w:rsid w:val="00AC2393"/>
    <w:rsid w:val="00AC66E3"/>
    <w:rsid w:val="00B12E17"/>
    <w:rsid w:val="00B651ED"/>
    <w:rsid w:val="00B920EE"/>
    <w:rsid w:val="00BC3637"/>
    <w:rsid w:val="00BF3C06"/>
    <w:rsid w:val="00C057C1"/>
    <w:rsid w:val="00C232B5"/>
    <w:rsid w:val="00C248F7"/>
    <w:rsid w:val="00C44A7D"/>
    <w:rsid w:val="00C46432"/>
    <w:rsid w:val="00C54B2C"/>
    <w:rsid w:val="00C61117"/>
    <w:rsid w:val="00C81C9F"/>
    <w:rsid w:val="00C90EDA"/>
    <w:rsid w:val="00C929D2"/>
    <w:rsid w:val="00CB487E"/>
    <w:rsid w:val="00CC7137"/>
    <w:rsid w:val="00D06844"/>
    <w:rsid w:val="00D06E07"/>
    <w:rsid w:val="00D10C18"/>
    <w:rsid w:val="00D1300D"/>
    <w:rsid w:val="00D252B7"/>
    <w:rsid w:val="00D61622"/>
    <w:rsid w:val="00D64891"/>
    <w:rsid w:val="00D9656F"/>
    <w:rsid w:val="00DB5200"/>
    <w:rsid w:val="00DD5354"/>
    <w:rsid w:val="00E6400E"/>
    <w:rsid w:val="00EE52DF"/>
    <w:rsid w:val="00EF6686"/>
    <w:rsid w:val="00F3057F"/>
    <w:rsid w:val="00F51FE7"/>
    <w:rsid w:val="00F846D4"/>
    <w:rsid w:val="00F854F2"/>
    <w:rsid w:val="00F9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409A24-E0A5-45EA-AFC1-B8FC1A11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2DF"/>
    <w:rPr>
      <w:sz w:val="24"/>
    </w:rPr>
  </w:style>
  <w:style w:type="paragraph" w:styleId="Heading1">
    <w:name w:val="heading 1"/>
    <w:basedOn w:val="Normal"/>
    <w:next w:val="Normal"/>
    <w:link w:val="Heading1Char"/>
    <w:uiPriority w:val="99"/>
    <w:qFormat/>
    <w:rsid w:val="00EE52D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rsid w:val="00EE52DF"/>
    <w:pPr>
      <w:tabs>
        <w:tab w:val="center" w:pos="4320"/>
        <w:tab w:val="right" w:pos="8640"/>
      </w:tabs>
    </w:pPr>
  </w:style>
  <w:style w:type="character" w:customStyle="1" w:styleId="HeaderChar">
    <w:name w:val="Header Char"/>
    <w:link w:val="Header"/>
    <w:uiPriority w:val="99"/>
    <w:semiHidden/>
    <w:rPr>
      <w:sz w:val="24"/>
      <w:szCs w:val="20"/>
    </w:rPr>
  </w:style>
  <w:style w:type="paragraph" w:styleId="Footer">
    <w:name w:val="footer"/>
    <w:basedOn w:val="Normal"/>
    <w:link w:val="FooterChar"/>
    <w:uiPriority w:val="99"/>
    <w:rsid w:val="00EE52DF"/>
    <w:pPr>
      <w:tabs>
        <w:tab w:val="center" w:pos="4320"/>
        <w:tab w:val="right" w:pos="8640"/>
      </w:tabs>
    </w:pPr>
  </w:style>
  <w:style w:type="character" w:customStyle="1" w:styleId="FooterChar">
    <w:name w:val="Footer Char"/>
    <w:link w:val="Footer"/>
    <w:uiPriority w:val="99"/>
    <w:semiHidden/>
    <w:rPr>
      <w:sz w:val="24"/>
      <w:szCs w:val="20"/>
    </w:rPr>
  </w:style>
  <w:style w:type="character" w:styleId="PageNumber">
    <w:name w:val="page number"/>
    <w:uiPriority w:val="99"/>
    <w:rsid w:val="00EE52DF"/>
    <w:rPr>
      <w:rFonts w:cs="Times New Roman"/>
    </w:rPr>
  </w:style>
  <w:style w:type="paragraph" w:styleId="ListParagraph">
    <w:name w:val="List Paragraph"/>
    <w:basedOn w:val="Normal"/>
    <w:uiPriority w:val="99"/>
    <w:qFormat/>
    <w:rsid w:val="00F5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ylor\Documents\Custom%20Office%20Templates\Minut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2.dotx</Template>
  <TotalTime>1</TotalTime>
  <Pages>3</Pages>
  <Words>612</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WATER AND LIGHT COMMISSION MINUTES</vt:lpstr>
    </vt:vector>
  </TitlesOfParts>
  <Company>Worthington Public Utilities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LIGHT COMMISSION MINUTES</dc:title>
  <dc:creator>Kristy Taylor</dc:creator>
  <cp:lastModifiedBy>Kristy Taylor</cp:lastModifiedBy>
  <cp:revision>2</cp:revision>
  <cp:lastPrinted>2013-10-18T16:54:00Z</cp:lastPrinted>
  <dcterms:created xsi:type="dcterms:W3CDTF">2025-04-25T12:53:00Z</dcterms:created>
  <dcterms:modified xsi:type="dcterms:W3CDTF">2025-04-25T12:53:00Z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0e27b72a-9460-447e-83e5-bdfdb8ead5dd</vt:lpwstr>
  </property>
</Properties>
</file>